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9D8" w:rsidRPr="00754870" w:rsidRDefault="001B1478" w:rsidP="001069D8">
      <w:pPr>
        <w:jc w:val="center"/>
        <w:rPr>
          <w:rFonts w:cs="Times New Roman"/>
          <w:b/>
          <w:szCs w:val="24"/>
        </w:rPr>
      </w:pPr>
      <w:r w:rsidRPr="00754870">
        <w:rPr>
          <w:rFonts w:cs="Times New Roman"/>
          <w:b/>
          <w:szCs w:val="24"/>
        </w:rPr>
        <w:t>Joint Tenant with Rights of Survivorship</w:t>
      </w: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B1478" w:rsidP="001069D8">
      <w:pPr>
        <w:jc w:val="center"/>
        <w:rPr>
          <w:rFonts w:cs="Times New Roman"/>
          <w:szCs w:val="24"/>
        </w:rPr>
      </w:pPr>
      <w:r w:rsidRPr="00754870">
        <w:rPr>
          <w:rFonts w:cs="Times New Roman"/>
          <w:szCs w:val="24"/>
        </w:rPr>
        <w:t xml:space="preserve">Name </w:t>
      </w:r>
    </w:p>
    <w:p w:rsidR="001069D8" w:rsidRPr="00754870" w:rsidRDefault="001B1478" w:rsidP="001069D8">
      <w:pPr>
        <w:jc w:val="center"/>
        <w:rPr>
          <w:rFonts w:cs="Times New Roman"/>
          <w:szCs w:val="24"/>
        </w:rPr>
      </w:pPr>
      <w:r w:rsidRPr="00754870">
        <w:rPr>
          <w:rFonts w:cs="Times New Roman"/>
          <w:szCs w:val="24"/>
        </w:rPr>
        <w:t xml:space="preserve">Affiliation </w:t>
      </w:r>
    </w:p>
    <w:p w:rsidR="001069D8" w:rsidRPr="00754870" w:rsidRDefault="001B1478" w:rsidP="001069D8">
      <w:pPr>
        <w:jc w:val="center"/>
        <w:rPr>
          <w:rFonts w:cs="Times New Roman"/>
          <w:szCs w:val="24"/>
        </w:rPr>
      </w:pPr>
      <w:r w:rsidRPr="00754870">
        <w:rPr>
          <w:rFonts w:cs="Times New Roman"/>
          <w:szCs w:val="24"/>
        </w:rPr>
        <w:t>Date</w:t>
      </w: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069D8" w:rsidP="001069D8">
      <w:pPr>
        <w:jc w:val="center"/>
        <w:rPr>
          <w:rFonts w:cs="Times New Roman"/>
          <w:szCs w:val="24"/>
        </w:rPr>
      </w:pPr>
    </w:p>
    <w:p w:rsidR="001069D8" w:rsidRPr="00754870" w:rsidRDefault="001B1478" w:rsidP="00AD6F21">
      <w:pPr>
        <w:jc w:val="center"/>
        <w:rPr>
          <w:rFonts w:cs="Times New Roman"/>
          <w:b/>
          <w:szCs w:val="24"/>
        </w:rPr>
      </w:pPr>
      <w:r w:rsidRPr="00754870">
        <w:rPr>
          <w:rFonts w:cs="Times New Roman"/>
          <w:b/>
          <w:szCs w:val="24"/>
        </w:rPr>
        <w:lastRenderedPageBreak/>
        <w:t>Joint Tenant with Rights of Survivorship</w:t>
      </w:r>
    </w:p>
    <w:p w:rsidR="009C3192" w:rsidRPr="00754870" w:rsidRDefault="001B1478" w:rsidP="009C3192">
      <w:pPr>
        <w:ind w:firstLine="720"/>
        <w:rPr>
          <w:rFonts w:cs="Times New Roman"/>
          <w:szCs w:val="24"/>
        </w:rPr>
      </w:pPr>
      <w:r w:rsidRPr="00754870">
        <w:rPr>
          <w:rFonts w:cs="Times New Roman"/>
          <w:szCs w:val="24"/>
        </w:rPr>
        <w:t>I would choose to hold title to the property as joint tenants with the right of survivorship.</w:t>
      </w:r>
      <w:r w:rsidR="00FD1DB4" w:rsidRPr="00754870">
        <w:rPr>
          <w:rFonts w:cs="Times New Roman"/>
          <w:szCs w:val="24"/>
        </w:rPr>
        <w:t xml:space="preserve"> In this form of </w:t>
      </w:r>
      <w:r w:rsidR="00AB4475" w:rsidRPr="00754870">
        <w:rPr>
          <w:rFonts w:cs="Times New Roman"/>
          <w:szCs w:val="24"/>
        </w:rPr>
        <w:t>possession</w:t>
      </w:r>
      <w:r w:rsidR="00FD1DB4" w:rsidRPr="00754870">
        <w:rPr>
          <w:rFonts w:cs="Times New Roman"/>
          <w:szCs w:val="24"/>
        </w:rPr>
        <w:t>, joint tenants are either two or more p</w:t>
      </w:r>
      <w:r w:rsidR="00984FEE" w:rsidRPr="00754870">
        <w:rPr>
          <w:rFonts w:cs="Times New Roman"/>
          <w:szCs w:val="24"/>
        </w:rPr>
        <w:t>eople who own property as a group. Some of the reasons regarding my choice of the form of ownership include the requirements for tenant joints. The requirements are unity of time, insisting that individuals must take ownership of the property synchronously.secondly. The group of two or more must take tittle by the same instrument; that is, they must take the title with any document that transfers property</w:t>
      </w:r>
      <w:r w:rsidR="00526F0D" w:rsidRPr="00754870">
        <w:rPr>
          <w:rFonts w:cs="Times New Roman"/>
          <w:szCs w:val="24"/>
        </w:rPr>
        <w:t>, such as will or deed</w:t>
      </w:r>
      <w:r w:rsidR="006703DF" w:rsidRPr="00754870">
        <w:rPr>
          <w:rFonts w:cs="Times New Roman"/>
          <w:szCs w:val="24"/>
          <w:shd w:val="clear" w:color="auto" w:fill="FFFFFF"/>
        </w:rPr>
        <w:t xml:space="preserve"> (</w:t>
      </w:r>
      <w:proofErr w:type="spellStart"/>
      <w:r w:rsidR="006703DF" w:rsidRPr="00754870">
        <w:rPr>
          <w:rFonts w:cs="Times New Roman"/>
          <w:szCs w:val="24"/>
          <w:shd w:val="clear" w:color="auto" w:fill="FFFFFF"/>
        </w:rPr>
        <w:t>Sendall</w:t>
      </w:r>
      <w:proofErr w:type="spellEnd"/>
      <w:r w:rsidR="006703DF" w:rsidRPr="00754870">
        <w:rPr>
          <w:rFonts w:cs="Times New Roman"/>
          <w:szCs w:val="24"/>
          <w:shd w:val="clear" w:color="auto" w:fill="FFFFFF"/>
        </w:rPr>
        <w:t>, 2015</w:t>
      </w:r>
      <w:r w:rsidR="006703DF" w:rsidRPr="00754870">
        <w:rPr>
          <w:rFonts w:cs="Times New Roman"/>
          <w:szCs w:val="24"/>
          <w:shd w:val="clear" w:color="auto" w:fill="FFFFFF"/>
        </w:rPr>
        <w:t>)</w:t>
      </w:r>
      <w:r w:rsidR="00526F0D" w:rsidRPr="00754870">
        <w:rPr>
          <w:rFonts w:cs="Times New Roman"/>
          <w:szCs w:val="24"/>
        </w:rPr>
        <w:t>.</w:t>
      </w:r>
    </w:p>
    <w:p w:rsidR="009C3192" w:rsidRPr="00754870" w:rsidRDefault="001B1478" w:rsidP="009C3192">
      <w:pPr>
        <w:ind w:firstLine="720"/>
        <w:rPr>
          <w:rFonts w:cs="Times New Roman"/>
          <w:szCs w:val="24"/>
        </w:rPr>
      </w:pPr>
      <w:r w:rsidRPr="00754870">
        <w:rPr>
          <w:rFonts w:cs="Times New Roman"/>
          <w:szCs w:val="24"/>
        </w:rPr>
        <w:t xml:space="preserve"> We will also </w:t>
      </w:r>
      <w:r w:rsidRPr="00754870">
        <w:rPr>
          <w:rFonts w:cs="Times New Roman"/>
          <w:szCs w:val="24"/>
        </w:rPr>
        <w:t xml:space="preserve">have unity of interest since each owner or tenant has equivalent importance in the </w:t>
      </w:r>
      <w:r w:rsidR="00747D58" w:rsidRPr="00754870">
        <w:rPr>
          <w:rFonts w:cs="Times New Roman"/>
          <w:szCs w:val="24"/>
        </w:rPr>
        <w:t>property. Besides</w:t>
      </w:r>
      <w:r w:rsidR="002D4212" w:rsidRPr="00754870">
        <w:rPr>
          <w:rFonts w:cs="Times New Roman"/>
          <w:szCs w:val="24"/>
        </w:rPr>
        <w:t>, each</w:t>
      </w:r>
      <w:r w:rsidR="00434306" w:rsidRPr="00754870">
        <w:rPr>
          <w:rFonts w:cs="Times New Roman"/>
          <w:szCs w:val="24"/>
        </w:rPr>
        <w:t xml:space="preserve"> owner has the legal right to enjoy and possess the entire property, although the individual does not have full </w:t>
      </w:r>
      <w:r w:rsidR="002D4212" w:rsidRPr="00754870">
        <w:rPr>
          <w:rFonts w:cs="Times New Roman"/>
          <w:szCs w:val="24"/>
        </w:rPr>
        <w:t>ownership. Also</w:t>
      </w:r>
      <w:r w:rsidR="00434306" w:rsidRPr="00754870">
        <w:rPr>
          <w:rFonts w:cs="Times New Roman"/>
          <w:szCs w:val="24"/>
        </w:rPr>
        <w:t xml:space="preserve">, I selected this form of ownership since joint owners can transfer their share or sell to third parties without the consent or approval of other </w:t>
      </w:r>
      <w:r w:rsidR="002D4212" w:rsidRPr="00754870">
        <w:rPr>
          <w:rFonts w:cs="Times New Roman"/>
          <w:szCs w:val="24"/>
        </w:rPr>
        <w:t>owners, under</w:t>
      </w:r>
      <w:r w:rsidR="00434306" w:rsidRPr="00754870">
        <w:rPr>
          <w:rFonts w:cs="Times New Roman"/>
          <w:szCs w:val="24"/>
        </w:rPr>
        <w:t xml:space="preserve"> the circumstance where an individual would sell his interes</w:t>
      </w:r>
      <w:r w:rsidR="002D4212" w:rsidRPr="00754870">
        <w:rPr>
          <w:rFonts w:cs="Times New Roman"/>
          <w:szCs w:val="24"/>
        </w:rPr>
        <w:t>t to a person. The tenancy among the initial remaining members would have the rights of survivorship</w:t>
      </w:r>
      <w:r w:rsidR="006703DF" w:rsidRPr="00754870">
        <w:rPr>
          <w:rFonts w:cs="Times New Roman"/>
          <w:szCs w:val="24"/>
          <w:shd w:val="clear" w:color="auto" w:fill="FFFFFF"/>
        </w:rPr>
        <w:t xml:space="preserve"> (Isaac &amp; O’Leary, 2013</w:t>
      </w:r>
      <w:r w:rsidR="006703DF" w:rsidRPr="00754870">
        <w:rPr>
          <w:rFonts w:cs="Times New Roman"/>
          <w:szCs w:val="24"/>
          <w:shd w:val="clear" w:color="auto" w:fill="FFFFFF"/>
        </w:rPr>
        <w:t>)</w:t>
      </w:r>
      <w:r w:rsidR="002D4212" w:rsidRPr="00754870">
        <w:rPr>
          <w:rFonts w:cs="Times New Roman"/>
          <w:szCs w:val="24"/>
        </w:rPr>
        <w:t>.</w:t>
      </w:r>
    </w:p>
    <w:p w:rsidR="009C3192" w:rsidRPr="00754870" w:rsidRDefault="001B1478" w:rsidP="009C3192">
      <w:pPr>
        <w:ind w:firstLine="720"/>
        <w:rPr>
          <w:rFonts w:cs="Times New Roman"/>
          <w:szCs w:val="24"/>
        </w:rPr>
      </w:pPr>
      <w:r w:rsidRPr="00754870">
        <w:rPr>
          <w:rFonts w:cs="Times New Roman"/>
          <w:szCs w:val="24"/>
        </w:rPr>
        <w:t>However, the new member would fail to join us since the new owner did not take the title simultaneously and with the same instrument; thus, he would be a tenant in common. Also</w:t>
      </w:r>
      <w:r w:rsidR="00747D58" w:rsidRPr="00754870">
        <w:rPr>
          <w:rFonts w:cs="Times New Roman"/>
          <w:szCs w:val="24"/>
        </w:rPr>
        <w:t>, JTWROS</w:t>
      </w:r>
      <w:r w:rsidRPr="00754870">
        <w:rPr>
          <w:rFonts w:cs="Times New Roman"/>
          <w:szCs w:val="24"/>
        </w:rPr>
        <w:t xml:space="preserve"> </w:t>
      </w:r>
      <w:r w:rsidR="00747D58" w:rsidRPr="00754870">
        <w:rPr>
          <w:rFonts w:cs="Times New Roman"/>
          <w:szCs w:val="24"/>
        </w:rPr>
        <w:t>survivorship</w:t>
      </w:r>
      <w:r w:rsidR="007D35BC" w:rsidRPr="00754870">
        <w:rPr>
          <w:rFonts w:cs="Times New Roman"/>
          <w:szCs w:val="24"/>
        </w:rPr>
        <w:t xml:space="preserve"> permits the tenants to immediately and automatically inherit another tenant’s share under the condition where one </w:t>
      </w:r>
      <w:r w:rsidR="00747D58" w:rsidRPr="00754870">
        <w:rPr>
          <w:rFonts w:cs="Times New Roman"/>
          <w:szCs w:val="24"/>
        </w:rPr>
        <w:t xml:space="preserve">dies. </w:t>
      </w:r>
      <w:r w:rsidR="007D35BC" w:rsidRPr="00754870">
        <w:rPr>
          <w:rFonts w:cs="Times New Roman"/>
          <w:szCs w:val="24"/>
        </w:rPr>
        <w:t xml:space="preserve">Property of the deceased would pass outside certification, and by process of law .as mentioned above, an owner </w:t>
      </w:r>
      <w:r w:rsidR="00061BA2" w:rsidRPr="00754870">
        <w:rPr>
          <w:rFonts w:cs="Times New Roman"/>
          <w:szCs w:val="24"/>
        </w:rPr>
        <w:t xml:space="preserve">is restricted from shifting his share to legatees in his </w:t>
      </w:r>
      <w:r w:rsidR="00747D58" w:rsidRPr="00754870">
        <w:rPr>
          <w:rFonts w:cs="Times New Roman"/>
          <w:szCs w:val="24"/>
        </w:rPr>
        <w:t>will. Also</w:t>
      </w:r>
      <w:r w:rsidR="00061BA2" w:rsidRPr="00754870">
        <w:rPr>
          <w:rFonts w:cs="Times New Roman"/>
          <w:szCs w:val="24"/>
        </w:rPr>
        <w:t xml:space="preserve">, his beneficiaries cannot inherit it if he dies without a testament and the last </w:t>
      </w:r>
      <w:r w:rsidR="00747D58" w:rsidRPr="00754870">
        <w:rPr>
          <w:rFonts w:cs="Times New Roman"/>
          <w:szCs w:val="24"/>
        </w:rPr>
        <w:t xml:space="preserve">will. </w:t>
      </w:r>
    </w:p>
    <w:p w:rsidR="00AD6F21" w:rsidRPr="00754870" w:rsidRDefault="001B1478" w:rsidP="009C3192">
      <w:pPr>
        <w:ind w:firstLine="720"/>
        <w:rPr>
          <w:rFonts w:cs="Times New Roman"/>
          <w:szCs w:val="24"/>
        </w:rPr>
      </w:pPr>
      <w:r w:rsidRPr="00754870">
        <w:rPr>
          <w:rFonts w:cs="Times New Roman"/>
          <w:szCs w:val="24"/>
        </w:rPr>
        <w:lastRenderedPageBreak/>
        <w:t>The</w:t>
      </w:r>
      <w:r w:rsidR="00061BA2" w:rsidRPr="00754870">
        <w:rPr>
          <w:rFonts w:cs="Times New Roman"/>
          <w:szCs w:val="24"/>
        </w:rPr>
        <w:t xml:space="preserve"> shares of the deceased will automatically belong to his co-owners at his </w:t>
      </w:r>
      <w:r w:rsidRPr="00754870">
        <w:rPr>
          <w:rFonts w:cs="Times New Roman"/>
          <w:szCs w:val="24"/>
        </w:rPr>
        <w:t>death. Circumstances where a single member dies, the remaining m</w:t>
      </w:r>
      <w:r w:rsidRPr="00754870">
        <w:rPr>
          <w:rFonts w:cs="Times New Roman"/>
          <w:szCs w:val="24"/>
        </w:rPr>
        <w:t>embers would hold a half percent interest in the property instead of a third of his interest since the transfer does not require certification. Besides, the deceased member would have no entitlement to his share. Also, the deceased's share will not be incl</w:t>
      </w:r>
      <w:r w:rsidRPr="00754870">
        <w:rPr>
          <w:rFonts w:cs="Times New Roman"/>
          <w:szCs w:val="24"/>
        </w:rPr>
        <w:t>uded in his estate to repay his last bills.</w:t>
      </w:r>
    </w:p>
    <w:p w:rsidR="000D7DBE" w:rsidRPr="00754870" w:rsidRDefault="001B1478" w:rsidP="009C3192">
      <w:pPr>
        <w:ind w:firstLine="720"/>
        <w:rPr>
          <w:rFonts w:cs="Times New Roman"/>
          <w:szCs w:val="24"/>
        </w:rPr>
      </w:pPr>
      <w:r w:rsidRPr="00754870">
        <w:rPr>
          <w:rFonts w:cs="Times New Roman"/>
          <w:szCs w:val="24"/>
        </w:rPr>
        <w:t>Upon the death of Mr. Williams, his surviving adult children will be legally entitled to the following according to joint tenancy with right of survivorship;</w:t>
      </w:r>
      <w:r w:rsidR="00C90D3E" w:rsidRPr="00754870">
        <w:rPr>
          <w:rFonts w:cs="Times New Roman"/>
          <w:szCs w:val="24"/>
        </w:rPr>
        <w:t xml:space="preserve"> first, JTWROS involves an arrangement that allows heirs admission to </w:t>
      </w:r>
      <w:r w:rsidRPr="00754870">
        <w:rPr>
          <w:rFonts w:cs="Times New Roman"/>
          <w:szCs w:val="24"/>
        </w:rPr>
        <w:t>Mr.</w:t>
      </w:r>
      <w:r w:rsidR="00C90D3E" w:rsidRPr="00754870">
        <w:rPr>
          <w:rFonts w:cs="Times New Roman"/>
          <w:szCs w:val="24"/>
        </w:rPr>
        <w:t xml:space="preserve"> </w:t>
      </w:r>
      <w:r w:rsidRPr="00754870">
        <w:rPr>
          <w:rFonts w:cs="Times New Roman"/>
          <w:szCs w:val="24"/>
        </w:rPr>
        <w:t>William’s</w:t>
      </w:r>
      <w:r w:rsidR="00C90D3E" w:rsidRPr="00754870">
        <w:rPr>
          <w:rFonts w:cs="Times New Roman"/>
          <w:szCs w:val="24"/>
        </w:rPr>
        <w:t xml:space="preserve"> account without </w:t>
      </w:r>
      <w:r w:rsidRPr="00754870">
        <w:rPr>
          <w:rFonts w:cs="Times New Roman"/>
          <w:szCs w:val="24"/>
        </w:rPr>
        <w:t>necessarily</w:t>
      </w:r>
      <w:r w:rsidR="00C90D3E" w:rsidRPr="00754870">
        <w:rPr>
          <w:rFonts w:cs="Times New Roman"/>
          <w:szCs w:val="24"/>
        </w:rPr>
        <w:t xml:space="preserve"> going to </w:t>
      </w:r>
      <w:r w:rsidRPr="00754870">
        <w:rPr>
          <w:rFonts w:cs="Times New Roman"/>
          <w:szCs w:val="24"/>
        </w:rPr>
        <w:t>court. Also</w:t>
      </w:r>
      <w:r w:rsidR="00C90D3E" w:rsidRPr="00754870">
        <w:rPr>
          <w:rFonts w:cs="Times New Roman"/>
          <w:szCs w:val="24"/>
        </w:rPr>
        <w:t xml:space="preserve">, </w:t>
      </w:r>
      <w:r w:rsidRPr="00754870">
        <w:rPr>
          <w:rFonts w:cs="Times New Roman"/>
          <w:szCs w:val="24"/>
        </w:rPr>
        <w:t>Mr.</w:t>
      </w:r>
      <w:r w:rsidR="00C90D3E" w:rsidRPr="00754870">
        <w:rPr>
          <w:rFonts w:cs="Times New Roman"/>
          <w:szCs w:val="24"/>
        </w:rPr>
        <w:t xml:space="preserve"> </w:t>
      </w:r>
      <w:r w:rsidRPr="00754870">
        <w:rPr>
          <w:rFonts w:cs="Times New Roman"/>
          <w:szCs w:val="24"/>
        </w:rPr>
        <w:t>William’s</w:t>
      </w:r>
      <w:r w:rsidR="00C90D3E" w:rsidRPr="00754870">
        <w:rPr>
          <w:rFonts w:cs="Times New Roman"/>
          <w:szCs w:val="24"/>
        </w:rPr>
        <w:t xml:space="preserve"> adult kids can take their father’s bank </w:t>
      </w:r>
      <w:r w:rsidRPr="00754870">
        <w:rPr>
          <w:rFonts w:cs="Times New Roman"/>
          <w:szCs w:val="24"/>
        </w:rPr>
        <w:t>account, real</w:t>
      </w:r>
      <w:r w:rsidR="00C90D3E" w:rsidRPr="00754870">
        <w:rPr>
          <w:rFonts w:cs="Times New Roman"/>
          <w:szCs w:val="24"/>
        </w:rPr>
        <w:t xml:space="preserve"> </w:t>
      </w:r>
      <w:r w:rsidRPr="00754870">
        <w:rPr>
          <w:rFonts w:cs="Times New Roman"/>
          <w:szCs w:val="24"/>
        </w:rPr>
        <w:t xml:space="preserve">estate, personal </w:t>
      </w:r>
      <w:r w:rsidR="00C90D3E" w:rsidRPr="00754870">
        <w:rPr>
          <w:rFonts w:cs="Times New Roman"/>
          <w:szCs w:val="24"/>
        </w:rPr>
        <w:t xml:space="preserve">property, and brokerage </w:t>
      </w:r>
      <w:r w:rsidRPr="00754870">
        <w:rPr>
          <w:rFonts w:cs="Times New Roman"/>
          <w:szCs w:val="24"/>
        </w:rPr>
        <w:t xml:space="preserve">accounts. </w:t>
      </w:r>
      <w:r w:rsidR="001D2EA8" w:rsidRPr="00754870">
        <w:rPr>
          <w:rFonts w:cs="Times New Roman"/>
          <w:szCs w:val="24"/>
        </w:rPr>
        <w:t>More than one person owns joint tenancy with rights of survivorship</w:t>
      </w:r>
      <w:r w:rsidRPr="00754870">
        <w:rPr>
          <w:rFonts w:cs="Times New Roman"/>
          <w:szCs w:val="24"/>
        </w:rPr>
        <w:t>. Therefore</w:t>
      </w:r>
      <w:r w:rsidR="001D2EA8" w:rsidRPr="00754870">
        <w:rPr>
          <w:rFonts w:cs="Times New Roman"/>
          <w:szCs w:val="24"/>
        </w:rPr>
        <w:t xml:space="preserve"> in this arrangement, owners have an equal right to accounts </w:t>
      </w:r>
      <w:r w:rsidRPr="00754870">
        <w:rPr>
          <w:rFonts w:cs="Times New Roman"/>
          <w:szCs w:val="24"/>
        </w:rPr>
        <w:t>property. Besides</w:t>
      </w:r>
      <w:r w:rsidR="001D2EA8" w:rsidRPr="00754870">
        <w:rPr>
          <w:rFonts w:cs="Times New Roman"/>
          <w:szCs w:val="24"/>
        </w:rPr>
        <w:t>, JTWROS members afford survivorship right in the event of the death of a member</w:t>
      </w:r>
      <w:r w:rsidR="006E6802" w:rsidRPr="00754870">
        <w:rPr>
          <w:rFonts w:cs="Times New Roman"/>
          <w:szCs w:val="24"/>
        </w:rPr>
        <w:t>.</w:t>
      </w:r>
    </w:p>
    <w:p w:rsidR="009C3192" w:rsidRPr="00754870" w:rsidRDefault="001B1478" w:rsidP="009C3192">
      <w:pPr>
        <w:ind w:firstLine="720"/>
        <w:rPr>
          <w:rFonts w:cs="Times New Roman"/>
          <w:szCs w:val="24"/>
        </w:rPr>
      </w:pPr>
      <w:r w:rsidRPr="00754870">
        <w:rPr>
          <w:rFonts w:cs="Times New Roman"/>
          <w:szCs w:val="24"/>
        </w:rPr>
        <w:t>Besides, upon</w:t>
      </w:r>
      <w:r w:rsidR="006E6802" w:rsidRPr="00754870">
        <w:rPr>
          <w:rFonts w:cs="Times New Roman"/>
          <w:szCs w:val="24"/>
        </w:rPr>
        <w:t xml:space="preserve"> </w:t>
      </w:r>
      <w:r w:rsidR="000D7DBE" w:rsidRPr="00754870">
        <w:rPr>
          <w:rFonts w:cs="Times New Roman"/>
          <w:szCs w:val="24"/>
        </w:rPr>
        <w:t>Mr.</w:t>
      </w:r>
      <w:r w:rsidR="006E6802" w:rsidRPr="00754870">
        <w:rPr>
          <w:rFonts w:cs="Times New Roman"/>
          <w:szCs w:val="24"/>
        </w:rPr>
        <w:t xml:space="preserve"> William's death, his adult kids will receive all of the property and </w:t>
      </w:r>
      <w:r w:rsidR="000D7DBE" w:rsidRPr="00754870">
        <w:rPr>
          <w:rFonts w:cs="Times New Roman"/>
          <w:szCs w:val="24"/>
        </w:rPr>
        <w:t>money when</w:t>
      </w:r>
      <w:r w:rsidR="006E6802" w:rsidRPr="00754870">
        <w:rPr>
          <w:rFonts w:cs="Times New Roman"/>
          <w:szCs w:val="24"/>
        </w:rPr>
        <w:t xml:space="preserve"> a member of JTWROS dies, a certification court reviews his will. The court aims to decide whether the will is legally binding and valid. The certification court also determines what assets and liabilities the departed may have and afterward shares any remaining assets to beneficiaries. In a circumstance where </w:t>
      </w:r>
      <w:r w:rsidR="000D7DBE" w:rsidRPr="00754870">
        <w:rPr>
          <w:rFonts w:cs="Times New Roman"/>
          <w:szCs w:val="24"/>
        </w:rPr>
        <w:t>Mr.</w:t>
      </w:r>
      <w:r w:rsidR="006E6802" w:rsidRPr="00754870">
        <w:rPr>
          <w:rFonts w:cs="Times New Roman"/>
          <w:szCs w:val="24"/>
        </w:rPr>
        <w:t xml:space="preserve"> William dies without a will, the certification process hardens due to the lack of any written evidence of how </w:t>
      </w:r>
      <w:r w:rsidR="000D7DBE" w:rsidRPr="00754870">
        <w:rPr>
          <w:rFonts w:cs="Times New Roman"/>
          <w:szCs w:val="24"/>
        </w:rPr>
        <w:t>Mr.</w:t>
      </w:r>
      <w:r w:rsidR="006E6802" w:rsidRPr="00754870">
        <w:rPr>
          <w:rFonts w:cs="Times New Roman"/>
          <w:szCs w:val="24"/>
        </w:rPr>
        <w:t xml:space="preserve"> </w:t>
      </w:r>
      <w:r w:rsidR="000D7DBE" w:rsidRPr="00754870">
        <w:rPr>
          <w:rFonts w:cs="Times New Roman"/>
          <w:szCs w:val="24"/>
        </w:rPr>
        <w:t>Williams</w:t>
      </w:r>
      <w:r w:rsidR="006E6802" w:rsidRPr="00754870">
        <w:rPr>
          <w:rFonts w:cs="Times New Roman"/>
          <w:szCs w:val="24"/>
        </w:rPr>
        <w:t xml:space="preserve"> would like his property to be shared</w:t>
      </w:r>
      <w:r w:rsidR="000D7DBE" w:rsidRPr="00754870">
        <w:rPr>
          <w:rFonts w:cs="Times New Roman"/>
          <w:szCs w:val="24"/>
        </w:rPr>
        <w:t>. Besides, JTWROS automatically transfers possession to heirs upon Mr. Williams; thus, his kids would have a massive advantage if they need the money urgently. In conclusion,when Mr. Williams dies, his assets are usually frozen until the certification court determines critical issues.The probate court must define whether the property is laden</w:t>
      </w:r>
      <w:r w:rsidR="00F271BC" w:rsidRPr="00754870">
        <w:rPr>
          <w:rFonts w:cs="Times New Roman"/>
          <w:szCs w:val="24"/>
          <w:shd w:val="clear" w:color="auto" w:fill="FFFFFF"/>
        </w:rPr>
        <w:t xml:space="preserve"> </w:t>
      </w:r>
      <w:r w:rsidR="00F271BC" w:rsidRPr="00754870">
        <w:rPr>
          <w:rFonts w:cs="Times New Roman"/>
          <w:szCs w:val="24"/>
          <w:shd w:val="clear" w:color="auto" w:fill="FFFFFF"/>
        </w:rPr>
        <w:t> </w:t>
      </w:r>
      <w:r w:rsidR="00F271BC" w:rsidRPr="00754870">
        <w:rPr>
          <w:rFonts w:cs="Times New Roman"/>
          <w:szCs w:val="24"/>
          <w:shd w:val="clear" w:color="auto" w:fill="FFFFFF"/>
        </w:rPr>
        <w:t>(Bryant, 2016</w:t>
      </w:r>
      <w:r w:rsidR="00F271BC" w:rsidRPr="00754870">
        <w:rPr>
          <w:rFonts w:cs="Times New Roman"/>
          <w:szCs w:val="24"/>
          <w:shd w:val="clear" w:color="auto" w:fill="FFFFFF"/>
        </w:rPr>
        <w:t>)</w:t>
      </w:r>
      <w:r w:rsidR="000D7DBE" w:rsidRPr="00754870">
        <w:rPr>
          <w:rFonts w:cs="Times New Roman"/>
          <w:szCs w:val="24"/>
        </w:rPr>
        <w:t>.</w:t>
      </w:r>
      <w:bookmarkStart w:id="0" w:name="_GoBack"/>
      <w:bookmarkEnd w:id="0"/>
    </w:p>
    <w:p w:rsidR="00754870" w:rsidRPr="00754870" w:rsidRDefault="00754870" w:rsidP="00754870">
      <w:pPr>
        <w:shd w:val="clear" w:color="auto" w:fill="FFFFFF"/>
        <w:spacing w:after="0" w:line="240" w:lineRule="auto"/>
        <w:jc w:val="center"/>
        <w:rPr>
          <w:rFonts w:eastAsia="Times New Roman" w:cs="Times New Roman"/>
          <w:szCs w:val="24"/>
        </w:rPr>
      </w:pPr>
      <w:r w:rsidRPr="00754870">
        <w:rPr>
          <w:rFonts w:eastAsia="Times New Roman" w:cs="Times New Roman"/>
          <w:szCs w:val="24"/>
        </w:rPr>
        <w:lastRenderedPageBreak/>
        <w:t>References</w:t>
      </w:r>
    </w:p>
    <w:p w:rsidR="00754870" w:rsidRPr="00754870" w:rsidRDefault="00754870" w:rsidP="00754870">
      <w:pPr>
        <w:shd w:val="clear" w:color="auto" w:fill="FFFFFF"/>
        <w:spacing w:after="0" w:line="550" w:lineRule="atLeast"/>
        <w:ind w:left="720" w:right="75" w:hanging="720"/>
        <w:rPr>
          <w:rFonts w:eastAsia="Times New Roman" w:cs="Times New Roman"/>
          <w:szCs w:val="24"/>
        </w:rPr>
      </w:pPr>
      <w:r w:rsidRPr="00754870">
        <w:rPr>
          <w:rFonts w:eastAsia="Times New Roman" w:cs="Times New Roman"/>
          <w:szCs w:val="24"/>
        </w:rPr>
        <w:t>Bryant, J. (2016). Trusts and estates cases: Can statistics help to identify trends?—spotlight on probate and estates cases</w:t>
      </w:r>
      <w:proofErr w:type="gramStart"/>
      <w:r w:rsidRPr="00754870">
        <w:rPr>
          <w:rFonts w:eastAsia="Times New Roman" w:cs="Times New Roman"/>
          <w:szCs w:val="24"/>
        </w:rPr>
        <w:t>:.</w:t>
      </w:r>
      <w:proofErr w:type="gramEnd"/>
      <w:r w:rsidRPr="00754870">
        <w:rPr>
          <w:rFonts w:eastAsia="Times New Roman" w:cs="Times New Roman"/>
          <w:szCs w:val="24"/>
        </w:rPr>
        <w:t> </w:t>
      </w:r>
      <w:r w:rsidRPr="00754870">
        <w:rPr>
          <w:rFonts w:eastAsia="Times New Roman" w:cs="Times New Roman"/>
          <w:i/>
          <w:iCs/>
          <w:szCs w:val="24"/>
        </w:rPr>
        <w:t>Trusts &amp; Trustees</w:t>
      </w:r>
      <w:r w:rsidRPr="00754870">
        <w:rPr>
          <w:rFonts w:eastAsia="Times New Roman" w:cs="Times New Roman"/>
          <w:szCs w:val="24"/>
        </w:rPr>
        <w:t>, </w:t>
      </w:r>
      <w:r w:rsidRPr="00754870">
        <w:rPr>
          <w:rFonts w:eastAsia="Times New Roman" w:cs="Times New Roman"/>
          <w:i/>
          <w:iCs/>
          <w:szCs w:val="24"/>
        </w:rPr>
        <w:t>22</w:t>
      </w:r>
      <w:r w:rsidRPr="00754870">
        <w:rPr>
          <w:rFonts w:eastAsia="Times New Roman" w:cs="Times New Roman"/>
          <w:szCs w:val="24"/>
        </w:rPr>
        <w:t>(9), 962-970. </w:t>
      </w:r>
      <w:hyperlink r:id="rId6" w:history="1">
        <w:r w:rsidRPr="00754870">
          <w:rPr>
            <w:rFonts w:eastAsia="Times New Roman" w:cs="Times New Roman"/>
            <w:szCs w:val="24"/>
          </w:rPr>
          <w:t>https://doi.org/10.1093/tandt/ttw151</w:t>
        </w:r>
      </w:hyperlink>
    </w:p>
    <w:p w:rsidR="00754870" w:rsidRPr="00754870" w:rsidRDefault="00754870" w:rsidP="00754870">
      <w:pPr>
        <w:shd w:val="clear" w:color="auto" w:fill="FFFFFF"/>
        <w:spacing w:after="0" w:line="550" w:lineRule="atLeast"/>
        <w:ind w:left="720" w:right="75" w:hanging="720"/>
        <w:rPr>
          <w:rFonts w:eastAsia="Times New Roman" w:cs="Times New Roman"/>
          <w:szCs w:val="24"/>
        </w:rPr>
      </w:pPr>
      <w:r w:rsidRPr="00754870">
        <w:rPr>
          <w:rFonts w:eastAsia="Times New Roman" w:cs="Times New Roman"/>
          <w:szCs w:val="24"/>
        </w:rPr>
        <w:t>Isaac, D., &amp; O’Leary, J. (2013). The traditional method of investment valuation. </w:t>
      </w:r>
      <w:r w:rsidRPr="00754870">
        <w:rPr>
          <w:rFonts w:eastAsia="Times New Roman" w:cs="Times New Roman"/>
          <w:i/>
          <w:iCs/>
          <w:szCs w:val="24"/>
        </w:rPr>
        <w:t>Property Valuation Techniques</w:t>
      </w:r>
      <w:r w:rsidRPr="00754870">
        <w:rPr>
          <w:rFonts w:eastAsia="Times New Roman" w:cs="Times New Roman"/>
          <w:szCs w:val="24"/>
        </w:rPr>
        <w:t>, 15-26. </w:t>
      </w:r>
      <w:hyperlink r:id="rId7" w:history="1">
        <w:r w:rsidRPr="00754870">
          <w:rPr>
            <w:rFonts w:eastAsia="Times New Roman" w:cs="Times New Roman"/>
            <w:szCs w:val="24"/>
          </w:rPr>
          <w:t>https://doi.org/10.1007/978-1-137-34916-3_2</w:t>
        </w:r>
      </w:hyperlink>
    </w:p>
    <w:p w:rsidR="00754870" w:rsidRPr="00754870" w:rsidRDefault="00754870" w:rsidP="00754870">
      <w:pPr>
        <w:shd w:val="clear" w:color="auto" w:fill="FFFFFF"/>
        <w:spacing w:after="0" w:line="550" w:lineRule="atLeast"/>
        <w:ind w:left="720" w:right="75" w:hanging="720"/>
        <w:rPr>
          <w:rFonts w:eastAsia="Times New Roman" w:cs="Times New Roman"/>
          <w:szCs w:val="24"/>
        </w:rPr>
      </w:pPr>
      <w:proofErr w:type="spellStart"/>
      <w:r w:rsidRPr="00754870">
        <w:rPr>
          <w:rFonts w:eastAsia="Times New Roman" w:cs="Times New Roman"/>
          <w:szCs w:val="24"/>
        </w:rPr>
        <w:t>Sendall</w:t>
      </w:r>
      <w:proofErr w:type="spellEnd"/>
      <w:r w:rsidRPr="00754870">
        <w:rPr>
          <w:rFonts w:eastAsia="Times New Roman" w:cs="Times New Roman"/>
          <w:szCs w:val="24"/>
        </w:rPr>
        <w:t>, J. (2015). 16. Protecting assets and the family home in financial order proceedings. </w:t>
      </w:r>
      <w:r w:rsidRPr="00754870">
        <w:rPr>
          <w:rFonts w:eastAsia="Times New Roman" w:cs="Times New Roman"/>
          <w:i/>
          <w:iCs/>
          <w:szCs w:val="24"/>
        </w:rPr>
        <w:t>Family Law 2016</w:t>
      </w:r>
      <w:r w:rsidRPr="00754870">
        <w:rPr>
          <w:rFonts w:eastAsia="Times New Roman" w:cs="Times New Roman"/>
          <w:szCs w:val="24"/>
        </w:rPr>
        <w:t>, 175-180. </w:t>
      </w:r>
      <w:hyperlink r:id="rId8" w:history="1">
        <w:r w:rsidRPr="00754870">
          <w:rPr>
            <w:rFonts w:eastAsia="Times New Roman" w:cs="Times New Roman"/>
            <w:szCs w:val="24"/>
          </w:rPr>
          <w:t>https://doi.org/10.1093/he/9780198747604.003.0016</w:t>
        </w:r>
      </w:hyperlink>
    </w:p>
    <w:p w:rsidR="00754870" w:rsidRPr="00754870" w:rsidRDefault="00754870" w:rsidP="009C3192">
      <w:pPr>
        <w:ind w:firstLine="720"/>
        <w:rPr>
          <w:rFonts w:cs="Times New Roman"/>
          <w:szCs w:val="24"/>
        </w:rPr>
      </w:pPr>
    </w:p>
    <w:p w:rsidR="00AD7547" w:rsidRPr="00754870" w:rsidRDefault="00AD7547" w:rsidP="001069D8">
      <w:pPr>
        <w:jc w:val="center"/>
        <w:rPr>
          <w:rFonts w:cs="Times New Roman"/>
          <w:szCs w:val="24"/>
        </w:rPr>
      </w:pPr>
    </w:p>
    <w:sectPr w:rsidR="00AD7547" w:rsidRPr="0075487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478" w:rsidRDefault="001B1478">
      <w:pPr>
        <w:spacing w:after="0" w:line="240" w:lineRule="auto"/>
      </w:pPr>
      <w:r>
        <w:separator/>
      </w:r>
    </w:p>
  </w:endnote>
  <w:endnote w:type="continuationSeparator" w:id="0">
    <w:p w:rsidR="001B1478" w:rsidRDefault="001B1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478" w:rsidRDefault="001B1478">
      <w:pPr>
        <w:spacing w:after="0" w:line="240" w:lineRule="auto"/>
      </w:pPr>
      <w:r>
        <w:separator/>
      </w:r>
    </w:p>
  </w:footnote>
  <w:footnote w:type="continuationSeparator" w:id="0">
    <w:p w:rsidR="001B1478" w:rsidRDefault="001B14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0736926"/>
      <w:docPartObj>
        <w:docPartGallery w:val="Page Numbers (Top of Page)"/>
        <w:docPartUnique/>
      </w:docPartObj>
    </w:sdtPr>
    <w:sdtEndPr>
      <w:rPr>
        <w:noProof/>
      </w:rPr>
    </w:sdtEndPr>
    <w:sdtContent>
      <w:p w:rsidR="001069D8" w:rsidRDefault="001B1478">
        <w:pPr>
          <w:pStyle w:val="Header"/>
          <w:jc w:val="right"/>
        </w:pPr>
        <w:r>
          <w:fldChar w:fldCharType="begin"/>
        </w:r>
        <w:r>
          <w:instrText xml:space="preserve"> PAGE   \* MERGEFORMAT </w:instrText>
        </w:r>
        <w:r>
          <w:fldChar w:fldCharType="separate"/>
        </w:r>
        <w:r w:rsidR="00754870">
          <w:rPr>
            <w:noProof/>
          </w:rPr>
          <w:t>4</w:t>
        </w:r>
        <w:r>
          <w:rPr>
            <w:noProof/>
          </w:rPr>
          <w:fldChar w:fldCharType="end"/>
        </w:r>
      </w:p>
    </w:sdtContent>
  </w:sdt>
  <w:p w:rsidR="001069D8" w:rsidRDefault="001069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D8"/>
    <w:rsid w:val="000007A3"/>
    <w:rsid w:val="00061BA2"/>
    <w:rsid w:val="000D7DBE"/>
    <w:rsid w:val="001069D8"/>
    <w:rsid w:val="001B1478"/>
    <w:rsid w:val="001D2EA8"/>
    <w:rsid w:val="002D4212"/>
    <w:rsid w:val="003467F6"/>
    <w:rsid w:val="00434306"/>
    <w:rsid w:val="00526F0D"/>
    <w:rsid w:val="006703DF"/>
    <w:rsid w:val="006E6802"/>
    <w:rsid w:val="00744443"/>
    <w:rsid w:val="00747D58"/>
    <w:rsid w:val="00754870"/>
    <w:rsid w:val="007D35BC"/>
    <w:rsid w:val="00901A4A"/>
    <w:rsid w:val="00984FEE"/>
    <w:rsid w:val="009C3192"/>
    <w:rsid w:val="00A434A9"/>
    <w:rsid w:val="00AB4475"/>
    <w:rsid w:val="00AD6F21"/>
    <w:rsid w:val="00AD7547"/>
    <w:rsid w:val="00C7143D"/>
    <w:rsid w:val="00C90D3E"/>
    <w:rsid w:val="00C918D7"/>
    <w:rsid w:val="00F271BC"/>
    <w:rsid w:val="00FD1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D2E31-ED03-4AA0-95BF-9931513E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9D8"/>
  </w:style>
  <w:style w:type="paragraph" w:styleId="Footer">
    <w:name w:val="footer"/>
    <w:basedOn w:val="Normal"/>
    <w:link w:val="FooterChar"/>
    <w:uiPriority w:val="99"/>
    <w:unhideWhenUsed/>
    <w:rsid w:val="00106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9D8"/>
  </w:style>
  <w:style w:type="character" w:customStyle="1" w:styleId="gray">
    <w:name w:val="gray"/>
    <w:basedOn w:val="DefaultParagraphFont"/>
    <w:rsid w:val="00F271BC"/>
  </w:style>
  <w:style w:type="paragraph" w:styleId="NormalWeb">
    <w:name w:val="Normal (Web)"/>
    <w:basedOn w:val="Normal"/>
    <w:uiPriority w:val="99"/>
    <w:semiHidden/>
    <w:unhideWhenUsed/>
    <w:rsid w:val="0075487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54870"/>
    <w:rPr>
      <w:i/>
      <w:iCs/>
    </w:rPr>
  </w:style>
  <w:style w:type="character" w:styleId="Hyperlink">
    <w:name w:val="Hyperlink"/>
    <w:basedOn w:val="DefaultParagraphFont"/>
    <w:uiPriority w:val="99"/>
    <w:semiHidden/>
    <w:unhideWhenUsed/>
    <w:rsid w:val="007548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40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he/9780198747604.003.0016" TargetMode="External"/><Relationship Id="rId3" Type="http://schemas.openxmlformats.org/officeDocument/2006/relationships/webSettings" Target="webSettings.xml"/><Relationship Id="rId7" Type="http://schemas.openxmlformats.org/officeDocument/2006/relationships/hyperlink" Target="https://doi.org/10.1007/978-1-137-34916-3_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tandt/ttw15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4</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SATELITE</cp:lastModifiedBy>
  <cp:revision>6</cp:revision>
  <dcterms:created xsi:type="dcterms:W3CDTF">2020-09-19T15:19:00Z</dcterms:created>
  <dcterms:modified xsi:type="dcterms:W3CDTF">2020-09-19T22:18:00Z</dcterms:modified>
</cp:coreProperties>
</file>